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971C" w14:textId="77777777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BD27EE">
        <w:rPr>
          <w:rFonts w:ascii="Calibri" w:eastAsia="Times New Roman" w:hAnsi="Calibri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2926F1F4" w14:textId="2CF1E99A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 Meeting Minutes – </w:t>
      </w:r>
      <w:r w:rsidR="00E7422C">
        <w:rPr>
          <w:rFonts w:ascii="Calibri" w:eastAsia="Times New Roman" w:hAnsi="Calibri" w:cs="Calibri"/>
          <w:b/>
          <w:bCs/>
          <w:sz w:val="28"/>
          <w:szCs w:val="28"/>
        </w:rPr>
        <w:t>November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7E01B4">
        <w:rPr>
          <w:rFonts w:ascii="Calibri" w:eastAsia="Times New Roman" w:hAnsi="Calibri" w:cs="Calibri"/>
          <w:b/>
          <w:bCs/>
          <w:sz w:val="28"/>
          <w:szCs w:val="28"/>
        </w:rPr>
        <w:t>30</w:t>
      </w: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, 2020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5D2081">
        <w:rPr>
          <w:rFonts w:ascii="Calibri" w:eastAsia="Times New Roman" w:hAnsi="Calibri" w:cs="Calibri"/>
          <w:b/>
          <w:sz w:val="28"/>
          <w:szCs w:val="28"/>
        </w:rPr>
        <w:t>9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 am</w:t>
      </w:r>
    </w:p>
    <w:p w14:paraId="561CDCE1" w14:textId="77777777" w:rsidR="00BD27EE" w:rsidRPr="00BD27EE" w:rsidRDefault="00BD27EE" w:rsidP="00BD27EE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2C528945" w14:textId="1C9C9C75" w:rsidR="00BD27EE" w:rsidRPr="00BD27EE" w:rsidRDefault="00BD27EE" w:rsidP="005D2081">
      <w:pPr>
        <w:ind w:left="1260" w:hanging="17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Present: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FF549C">
        <w:rPr>
          <w:rFonts w:ascii="Calibri" w:eastAsia="Times New Roman" w:hAnsi="Calibri" w:cs="Calibri"/>
          <w:sz w:val="22"/>
          <w:szCs w:val="22"/>
        </w:rPr>
        <w:t>Christopher Badurek, William Bellingham,</w:t>
      </w:r>
      <w:r w:rsidR="007E01B4">
        <w:rPr>
          <w:rFonts w:ascii="Calibri" w:eastAsia="Times New Roman" w:hAnsi="Calibri" w:cs="Calibri"/>
          <w:sz w:val="22"/>
          <w:szCs w:val="22"/>
        </w:rPr>
        <w:t xml:space="preserve"> Alexis Blavos,</w:t>
      </w:r>
      <w:r w:rsidRPr="00BD27EE">
        <w:rPr>
          <w:rFonts w:ascii="Calibri" w:eastAsia="Times New Roman" w:hAnsi="Calibri" w:cs="Calibri"/>
          <w:sz w:val="22"/>
          <w:szCs w:val="22"/>
        </w:rPr>
        <w:t> Genevieve </w:t>
      </w:r>
      <w:proofErr w:type="spellStart"/>
      <w:r w:rsidRPr="00BD27EE">
        <w:rPr>
          <w:rFonts w:ascii="Calibri" w:eastAsia="Times New Roman" w:hAnsi="Calibri" w:cs="Calibri"/>
          <w:sz w:val="22"/>
          <w:szCs w:val="22"/>
        </w:rPr>
        <w:t>Birren</w:t>
      </w:r>
      <w:proofErr w:type="spellEnd"/>
      <w:r w:rsidRPr="00BD27EE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Vince</w:t>
      </w:r>
      <w:r w:rsidR="00DF1155">
        <w:rPr>
          <w:rFonts w:ascii="Calibri" w:eastAsia="Times New Roman" w:hAnsi="Calibri" w:cs="Calibri"/>
          <w:sz w:val="22"/>
          <w:szCs w:val="22"/>
        </w:rPr>
        <w:t>nt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 DeTuri</w:t>
      </w:r>
      <w:r w:rsidR="00FF549C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 xml:space="preserve"> </w:t>
      </w:r>
      <w:r w:rsidR="00FF549C">
        <w:rPr>
          <w:rFonts w:ascii="Calibri" w:eastAsia="Times New Roman" w:hAnsi="Calibri" w:cs="Calibri"/>
          <w:sz w:val="22"/>
          <w:szCs w:val="22"/>
        </w:rPr>
        <w:t>Nancy Diller, 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Jose Feliciano</w:t>
      </w:r>
      <w:r w:rsidR="00FF549C">
        <w:rPr>
          <w:rFonts w:ascii="Calibri" w:eastAsia="Times New Roman" w:hAnsi="Calibri" w:cs="Calibri"/>
          <w:sz w:val="22"/>
          <w:szCs w:val="22"/>
        </w:rPr>
        <w:t>, Tracy Frenyea,</w:t>
      </w:r>
      <w:r w:rsidRPr="00BD27EE"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Peter McGinnis, </w:t>
      </w:r>
      <w:r w:rsidR="00FF549C">
        <w:rPr>
          <w:rFonts w:ascii="Calibri" w:eastAsia="Times New Roman" w:hAnsi="Calibri" w:cs="Calibri"/>
          <w:sz w:val="22"/>
          <w:szCs w:val="22"/>
        </w:rPr>
        <w:t>Charlotte</w:t>
      </w:r>
      <w:r w:rsidR="007E01B4">
        <w:rPr>
          <w:rFonts w:ascii="Calibri" w:eastAsia="Times New Roman" w:hAnsi="Calibri" w:cs="Calibri"/>
          <w:sz w:val="22"/>
          <w:szCs w:val="22"/>
        </w:rPr>
        <w:t xml:space="preserve"> Pass, </w:t>
      </w:r>
      <w:r w:rsidR="006C76C9">
        <w:rPr>
          <w:rFonts w:ascii="Calibri" w:eastAsia="Times New Roman" w:hAnsi="Calibri" w:cs="Calibri"/>
          <w:sz w:val="22"/>
          <w:szCs w:val="22"/>
        </w:rPr>
        <w:t>Carol</w:t>
      </w:r>
      <w:r w:rsidR="00FF549C">
        <w:rPr>
          <w:rFonts w:ascii="Calibri" w:eastAsia="Times New Roman" w:hAnsi="Calibri" w:cs="Calibri"/>
          <w:sz w:val="22"/>
          <w:szCs w:val="22"/>
        </w:rPr>
        <w:t xml:space="preserve"> Van Der </w:t>
      </w:r>
      <w:proofErr w:type="spellStart"/>
      <w:r w:rsidR="00FF549C">
        <w:rPr>
          <w:rFonts w:ascii="Calibri" w:eastAsia="Times New Roman" w:hAnsi="Calibri" w:cs="Calibri"/>
          <w:sz w:val="22"/>
          <w:szCs w:val="22"/>
        </w:rPr>
        <w:t>Carr</w:t>
      </w:r>
      <w:proofErr w:type="spellEnd"/>
    </w:p>
    <w:p w14:paraId="6DAC52F4" w14:textId="77777777" w:rsidR="005D2081" w:rsidRPr="00BD27EE" w:rsidRDefault="005D2081" w:rsidP="005D2081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51A3F105" w14:textId="207B83FD" w:rsidR="00BD27EE" w:rsidRDefault="00BD27EE" w:rsidP="005D2081">
      <w:pPr>
        <w:ind w:left="1260" w:hanging="171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Absent: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</w:p>
    <w:p w14:paraId="0A51C534" w14:textId="77777777" w:rsidR="00D14B80" w:rsidRPr="00BD27EE" w:rsidRDefault="00D14B80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298"/>
        <w:gridCol w:w="2878"/>
      </w:tblGrid>
      <w:tr w:rsidR="00BD27EE" w:rsidRPr="00BD27EE" w14:paraId="37BEF3FF" w14:textId="77777777" w:rsidTr="22DE4A43">
        <w:trPr>
          <w:trHeight w:val="42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19622F33" w14:textId="77777777" w:rsidR="00BD27EE" w:rsidRPr="00BD27EE" w:rsidRDefault="00BD27EE" w:rsidP="00BD27EE">
            <w:pPr>
              <w:ind w:left="360" w:hanging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66B97DF5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75221650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BD27EE" w:rsidRPr="00BD27EE" w14:paraId="687ED2D3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3A35E12" w14:textId="77777777" w:rsidR="00BD27EE" w:rsidRPr="00BD27EE" w:rsidRDefault="00BD27EE" w:rsidP="00E7422C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Approval of Minutes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1D5CA99D" w14:textId="17FFC1C4" w:rsidR="00BD27EE" w:rsidRPr="00BD27EE" w:rsidRDefault="00BD27EE" w:rsidP="22DE4A43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 xml:space="preserve">Minutes from </w:t>
            </w:r>
            <w:r w:rsidR="007E01B4" w:rsidRPr="22DE4A43">
              <w:rPr>
                <w:rFonts w:ascii="Calibri" w:eastAsia="Times New Roman" w:hAnsi="Calibri" w:cs="Calibri"/>
                <w:sz w:val="22"/>
                <w:szCs w:val="22"/>
              </w:rPr>
              <w:t>Novemb</w:t>
            </w:r>
            <w:r w:rsidR="00E7422C" w:rsidRPr="22DE4A43">
              <w:rPr>
                <w:rFonts w:ascii="Calibri" w:eastAsia="Times New Roman" w:hAnsi="Calibri" w:cs="Calibri"/>
                <w:sz w:val="22"/>
                <w:szCs w:val="22"/>
              </w:rPr>
              <w:t>er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E01B4" w:rsidRPr="22DE4A4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>, 2020 were approved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6E3B40C" w14:textId="59622DDB" w:rsidR="00BD27EE" w:rsidRPr="00BD27EE" w:rsidRDefault="00BD27EE" w:rsidP="00E7422C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5D2081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</w:tr>
      <w:tr w:rsidR="00BD27EE" w:rsidRPr="00BD27EE" w14:paraId="50F68577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88C9728" w14:textId="0E77DCD6" w:rsidR="00BD27EE" w:rsidRPr="00BD27EE" w:rsidRDefault="007E01B4" w:rsidP="00D36EA2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Welcome New Members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248FB35F" w14:textId="2E6AEB36" w:rsidR="00BD27EE" w:rsidRPr="006377AB" w:rsidRDefault="00BD27EE" w:rsidP="006377AB">
            <w:pPr>
              <w:spacing w:after="160" w:line="259" w:lineRule="auto"/>
              <w:rPr>
                <w:rFonts w:ascii="Agenda-Regular" w:eastAsia="Calibri" w:hAnsi="Agenda-Regular"/>
                <w:sz w:val="22"/>
                <w:szCs w:val="22"/>
              </w:rPr>
            </w:pP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>Kevin</w:t>
            </w:r>
            <w:r w:rsidRPr="22DE4A43">
              <w:rPr>
                <w:rFonts w:eastAsia="Times New Roman"/>
                <w:sz w:val="22"/>
                <w:szCs w:val="22"/>
              </w:rPr>
              <w:t xml:space="preserve"> Da</w:t>
            </w:r>
            <w:r w:rsidR="00FF549C" w:rsidRPr="22DE4A43">
              <w:rPr>
                <w:rFonts w:eastAsia="Times New Roman"/>
                <w:sz w:val="22"/>
                <w:szCs w:val="22"/>
              </w:rPr>
              <w:t>m</w:t>
            </w:r>
            <w:r w:rsidRPr="22DE4A43">
              <w:rPr>
                <w:rFonts w:eastAsia="Times New Roman"/>
                <w:sz w:val="22"/>
                <w:szCs w:val="22"/>
              </w:rPr>
              <w:t xml:space="preserve">es </w:t>
            </w:r>
            <w:r w:rsidR="007E01B4" w:rsidRPr="22DE4A43">
              <w:rPr>
                <w:rFonts w:eastAsia="Times New Roman"/>
                <w:sz w:val="22"/>
                <w:szCs w:val="22"/>
              </w:rPr>
              <w:t>joined as GFEC Rep for Faculty Senate</w:t>
            </w:r>
            <w:r w:rsidR="00FF549C" w:rsidRPr="22DE4A43">
              <w:rPr>
                <w:rFonts w:eastAsia="Times New Roman"/>
                <w:sz w:val="22"/>
                <w:szCs w:val="22"/>
              </w:rPr>
              <w:t xml:space="preserve">. </w:t>
            </w:r>
            <w:r w:rsidR="006377AB" w:rsidRPr="22DE4A43">
              <w:rPr>
                <w:rFonts w:eastAsia="Times New Roman"/>
                <w:sz w:val="22"/>
                <w:szCs w:val="22"/>
              </w:rPr>
              <w:t xml:space="preserve">Lin </w:t>
            </w:r>
            <w:proofErr w:type="spellStart"/>
            <w:r w:rsidR="006377AB" w:rsidRPr="22DE4A43">
              <w:rPr>
                <w:rFonts w:eastAsia="Times New Roman"/>
                <w:sz w:val="22"/>
                <w:szCs w:val="22"/>
              </w:rPr>
              <w:t>Lin</w:t>
            </w:r>
            <w:proofErr w:type="spellEnd"/>
            <w:r w:rsidR="006377AB" w:rsidRPr="22DE4A43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="006377AB" w:rsidRPr="22DE4A43">
              <w:rPr>
                <w:rFonts w:eastAsia="Times New Roman"/>
                <w:sz w:val="22"/>
                <w:szCs w:val="22"/>
              </w:rPr>
              <w:t>was appointed</w:t>
            </w:r>
            <w:proofErr w:type="gramEnd"/>
            <w:r w:rsidR="006377AB" w:rsidRPr="22DE4A43">
              <w:rPr>
                <w:rFonts w:eastAsia="Times New Roman"/>
                <w:sz w:val="22"/>
                <w:szCs w:val="22"/>
              </w:rPr>
              <w:t xml:space="preserve"> GFEC Rep for </w:t>
            </w:r>
            <w:r w:rsidR="006377AB" w:rsidRPr="22DE4A43">
              <w:rPr>
                <w:rFonts w:eastAsia="Calibri"/>
                <w:sz w:val="22"/>
                <w:szCs w:val="22"/>
              </w:rPr>
              <w:t xml:space="preserve">Childhood/Early Child., Foundations </w:t>
            </w:r>
            <w:r w:rsidR="683C221A" w:rsidRPr="22DE4A43">
              <w:rPr>
                <w:rFonts w:eastAsia="Calibri"/>
                <w:sz w:val="22"/>
                <w:szCs w:val="22"/>
              </w:rPr>
              <w:t>and</w:t>
            </w:r>
            <w:r w:rsidR="006377AB" w:rsidRPr="22DE4A43">
              <w:rPr>
                <w:rFonts w:eastAsia="Calibri"/>
                <w:sz w:val="22"/>
                <w:szCs w:val="22"/>
              </w:rPr>
              <w:t xml:space="preserve"> Social Advocacy.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7E1152F" w14:textId="6E598560" w:rsidR="00BD27EE" w:rsidRPr="00DF1155" w:rsidRDefault="00BD27EE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7A43C4" w:rsidRPr="00BD27EE" w14:paraId="11EDA4B0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EB531D7" w14:textId="4FDBB87C" w:rsidR="007A43C4" w:rsidRDefault="007E01B4" w:rsidP="00E7422C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Minor edits to ENG 504 Writing Pedagogy and Assessment in Secondary Schools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4845CD43" w14:textId="477593A7" w:rsidR="007A43C4" w:rsidRPr="00D36EA2" w:rsidRDefault="006377AB" w:rsidP="00DF1155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Committee </w:t>
            </w:r>
            <w:r w:rsidR="007E01B4">
              <w:rPr>
                <w:rFonts w:ascii="Calibri" w:eastAsia="Times New Roman" w:hAnsi="Calibri" w:cs="Calibri"/>
                <w:sz w:val="22"/>
                <w:szCs w:val="22"/>
              </w:rPr>
              <w:t xml:space="preserve">previously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approved this proposal pending minor edits to SLOs. Badurek reported changes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were made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as requested and approval sent on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8E05A1C" w14:textId="10F01957" w:rsidR="007A43C4" w:rsidRPr="007A43C4" w:rsidRDefault="00FF549C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DF115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BD27EE" w:rsidRPr="00BD27EE" w14:paraId="480162F0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2622CE2B" w14:textId="688176CA" w:rsidR="00F46FA8" w:rsidRPr="00BD27EE" w:rsidRDefault="00D14B80" w:rsidP="00CB5153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Charge from Faculty Senate</w:t>
            </w:r>
            <w:r w:rsidR="00CB5153"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  <w:r w:rsidR="00F46FA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Re: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graduate program deactivation</w:t>
            </w:r>
            <w:r w:rsidR="00F46FA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or suspension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95FF7A8" w14:textId="57D777F8" w:rsidR="00BD27EE" w:rsidRPr="00CB5153" w:rsidRDefault="007E01B4" w:rsidP="00456E81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C. Badurek and G.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Birren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reported out on their conversations with Graduate Coordinators affected by changes to graduate programs in College of Arts and Sciences (Badurek) and in Col</w:t>
            </w:r>
            <w:r w:rsidR="006377AB">
              <w:rPr>
                <w:rFonts w:eastAsia="Times New Roman" w:cs="Times New Roman"/>
                <w:sz w:val="22"/>
                <w:szCs w:val="22"/>
              </w:rPr>
              <w:t>lege of Professional Studies (</w:t>
            </w:r>
            <w:proofErr w:type="spellStart"/>
            <w:r w:rsidR="006377AB">
              <w:rPr>
                <w:rFonts w:eastAsia="Times New Roman" w:cs="Times New Roman"/>
                <w:sz w:val="22"/>
                <w:szCs w:val="22"/>
              </w:rPr>
              <w:t>Bi</w:t>
            </w:r>
            <w:r>
              <w:rPr>
                <w:rFonts w:eastAsia="Times New Roman" w:cs="Times New Roman"/>
                <w:sz w:val="22"/>
                <w:szCs w:val="22"/>
              </w:rPr>
              <w:t>rren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). Discussion focused on clarification of processes to infor</w:t>
            </w:r>
            <w:r w:rsidR="006377AB">
              <w:rPr>
                <w:rFonts w:eastAsia="Times New Roman" w:cs="Times New Roman"/>
                <w:sz w:val="22"/>
                <w:szCs w:val="22"/>
              </w:rPr>
              <w:t xml:space="preserve">m Graduate Coordinators and </w:t>
            </w:r>
            <w:proofErr w:type="gramStart"/>
            <w:r w:rsidR="006377AB">
              <w:rPr>
                <w:rFonts w:eastAsia="Times New Roman" w:cs="Times New Roman"/>
                <w:sz w:val="22"/>
                <w:szCs w:val="22"/>
              </w:rPr>
              <w:t>impa</w:t>
            </w:r>
            <w:r>
              <w:rPr>
                <w:rFonts w:eastAsia="Times New Roman" w:cs="Times New Roman"/>
                <w:sz w:val="22"/>
                <w:szCs w:val="22"/>
              </w:rPr>
              <w:t>cted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6377AB">
              <w:rPr>
                <w:rFonts w:eastAsia="Times New Roman" w:cs="Times New Roman"/>
                <w:sz w:val="22"/>
                <w:szCs w:val="22"/>
              </w:rPr>
              <w:t xml:space="preserve">faculty. A report back to Faculty Senate responding to the charge </w:t>
            </w:r>
            <w:proofErr w:type="gramStart"/>
            <w:r w:rsidR="006377AB">
              <w:rPr>
                <w:rFonts w:eastAsia="Times New Roman" w:cs="Times New Roman"/>
                <w:sz w:val="22"/>
                <w:szCs w:val="22"/>
              </w:rPr>
              <w:t>was discussed</w:t>
            </w:r>
            <w:proofErr w:type="gramEnd"/>
            <w:r w:rsidR="006377AB">
              <w:rPr>
                <w:rFonts w:eastAsia="Times New Roman" w:cs="Times New Roman"/>
                <w:sz w:val="22"/>
                <w:szCs w:val="22"/>
              </w:rPr>
              <w:t xml:space="preserve"> but further discussion on what to include needed.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1ACA9F8" w14:textId="34A89DF3" w:rsidR="00897FCE" w:rsidRPr="00BD27EE" w:rsidRDefault="00CB5153" w:rsidP="006377AB">
            <w:pPr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Further discussion at next meeting.</w:t>
            </w:r>
          </w:p>
        </w:tc>
      </w:tr>
      <w:tr w:rsidR="00BD27EE" w:rsidRPr="00BD27EE" w14:paraId="67022715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F7D1FA4" w14:textId="0ECC2AC2" w:rsidR="00BD27EE" w:rsidRPr="00BD27EE" w:rsidRDefault="00BD27EE" w:rsidP="00E7422C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Meeting Adjournment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E33C6E5" w14:textId="726AE7F6" w:rsidR="00BD27EE" w:rsidRPr="00BD27EE" w:rsidRDefault="00BD27EE" w:rsidP="00E7422C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36223C0" w14:textId="38331624" w:rsidR="00BD27EE" w:rsidRPr="00BD27EE" w:rsidRDefault="00BD27EE" w:rsidP="005D2081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Adjourn</w:t>
            </w:r>
            <w:r w:rsidR="005D208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C905C8"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at </w:t>
            </w:r>
            <w:r w:rsidR="005D2081">
              <w:rPr>
                <w:rFonts w:ascii="Calibri" w:eastAsia="Times New Roman" w:hAnsi="Calibri" w:cs="Calibri"/>
                <w:b/>
                <w:sz w:val="22"/>
                <w:szCs w:val="22"/>
              </w:rPr>
              <w:t>9</w:t>
            </w:r>
            <w:r w:rsidR="007E01B4">
              <w:rPr>
                <w:rFonts w:ascii="Calibri" w:eastAsia="Times New Roman" w:hAnsi="Calibri" w:cs="Calibri"/>
                <w:b/>
                <w:sz w:val="22"/>
                <w:szCs w:val="22"/>
              </w:rPr>
              <w:t>:59</w:t>
            </w:r>
            <w:r w:rsidR="00C905C8"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am</w:t>
            </w:r>
          </w:p>
        </w:tc>
      </w:tr>
    </w:tbl>
    <w:p w14:paraId="58A24285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63DEC5C0" w14:textId="15E1CEFE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Submitted by </w:t>
      </w:r>
      <w:r w:rsidR="00B53A6B">
        <w:rPr>
          <w:rFonts w:ascii="Calibri" w:eastAsia="Times New Roman" w:hAnsi="Calibri" w:cs="Calibri"/>
          <w:sz w:val="20"/>
          <w:szCs w:val="20"/>
        </w:rPr>
        <w:t>C.</w:t>
      </w:r>
      <w:r w:rsidR="007E01B4">
        <w:rPr>
          <w:rFonts w:ascii="Calibri" w:eastAsia="Times New Roman" w:hAnsi="Calibri" w:cs="Calibri"/>
          <w:sz w:val="20"/>
          <w:szCs w:val="20"/>
        </w:rPr>
        <w:t xml:space="preserve"> Badurek</w:t>
      </w:r>
    </w:p>
    <w:p w14:paraId="745543FE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061E6109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20010261" w14:textId="77777777" w:rsidR="00D36EA2" w:rsidRDefault="00D36EA2"/>
    <w:sectPr w:rsidR="00D36EA2" w:rsidSect="008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E"/>
    <w:rsid w:val="0014557D"/>
    <w:rsid w:val="003405EC"/>
    <w:rsid w:val="00456E81"/>
    <w:rsid w:val="004F74D5"/>
    <w:rsid w:val="00504807"/>
    <w:rsid w:val="005D2081"/>
    <w:rsid w:val="00622CA5"/>
    <w:rsid w:val="006377AB"/>
    <w:rsid w:val="006C565F"/>
    <w:rsid w:val="006C76C9"/>
    <w:rsid w:val="006E2768"/>
    <w:rsid w:val="006F112D"/>
    <w:rsid w:val="00750CBF"/>
    <w:rsid w:val="007A43C4"/>
    <w:rsid w:val="007E01B4"/>
    <w:rsid w:val="00801806"/>
    <w:rsid w:val="0086635B"/>
    <w:rsid w:val="00897FCE"/>
    <w:rsid w:val="009104E5"/>
    <w:rsid w:val="009A1D8A"/>
    <w:rsid w:val="00B1142B"/>
    <w:rsid w:val="00B53A6B"/>
    <w:rsid w:val="00B60137"/>
    <w:rsid w:val="00BD27EE"/>
    <w:rsid w:val="00C905C8"/>
    <w:rsid w:val="00C936BA"/>
    <w:rsid w:val="00CB5153"/>
    <w:rsid w:val="00D14B80"/>
    <w:rsid w:val="00D36EA2"/>
    <w:rsid w:val="00DF1155"/>
    <w:rsid w:val="00E7422C"/>
    <w:rsid w:val="00F46FA8"/>
    <w:rsid w:val="00FB5774"/>
    <w:rsid w:val="00FF549C"/>
    <w:rsid w:val="22DE4A43"/>
    <w:rsid w:val="683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docId w15:val="{941DEAE0-31A4-4D10-AE3A-FF7524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7EE"/>
  </w:style>
  <w:style w:type="character" w:customStyle="1" w:styleId="eop">
    <w:name w:val="eop"/>
    <w:basedOn w:val="DefaultParagraphFont"/>
    <w:rsid w:val="00B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6" ma:contentTypeDescription="Create a new document." ma:contentTypeScope="" ma:versionID="33c7e1095a5b361f7f0cb9277d100c2d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b19b86c6a25df9f51455acf1881b3776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9BDF-28FF-464B-9F2D-7AAEFCBC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5ECC7-43BA-48A7-82EC-755B94FDE708}">
  <ds:schemaRefs>
    <ds:schemaRef ds:uri="http://schemas.microsoft.com/office/infopath/2007/PartnerControls"/>
    <ds:schemaRef ds:uri="http://purl.org/dc/terms/"/>
    <ds:schemaRef ds:uri="http://purl.org/dc/dcmitype/"/>
    <ds:schemaRef ds:uri="8334429a-f53d-409f-bdb4-7082e6f2db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d85981f-d10d-49e2-97c1-816b1377a3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Pass</dc:creator>
  <cp:keywords/>
  <dc:description/>
  <cp:lastModifiedBy>Nancy Diller</cp:lastModifiedBy>
  <cp:revision>2</cp:revision>
  <cp:lastPrinted>2020-11-02T13:55:00Z</cp:lastPrinted>
  <dcterms:created xsi:type="dcterms:W3CDTF">2021-02-08T14:53:00Z</dcterms:created>
  <dcterms:modified xsi:type="dcterms:W3CDTF">2021-02-08T14:53:00Z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